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73A1" w14:textId="77777777" w:rsidR="00403778" w:rsidRDefault="00403778" w:rsidP="006806EF">
      <w:pPr>
        <w:pStyle w:val="COOPTemplate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pict w14:anchorId="1846CDEF">
          <v:group id="_x0000_s1026" style="position:absolute;left:0;text-align:left;margin-left:-53.6pt;margin-top:-53.25pt;width:812.35pt;height:83.15pt;z-index:251657216" coordorigin="-127,15" coordsize="16247,1663">
            <v:group id="_x0000_s1027" style="position:absolute;left:-127;top:15;width:16247;height:1663" coordorigin="-367" coordsize="16247,1663">
              <v:rect id="Rectangle 9" o:spid="_x0000_s1028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    <v:stroke linestyle="thickThin"/>
              </v:rect>
              <v:rect id="Rectangle 6" o:spid="_x0000_s1029" style="position:absolute;left:-358;width:16188;height:1440;visibility:visible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    <v:stroke linestyle="thickThin"/>
              </v:rect>
            </v:group>
            <v:rect id="Rectangle 8" o:spid="_x0000_s1030" style="position:absolute;left:-127;top:1435;width:16247;height:119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    <v:stroke linestyle="thickThin"/>
            </v:rect>
          </v:group>
        </w:pict>
      </w:r>
      <w:r>
        <w:rPr>
          <w:rFonts w:ascii="Arial" w:hAnsi="Arial"/>
          <w:noProof/>
        </w:rPr>
        <w:pict w14:anchorId="6F56F6B4">
          <v:rect id="Title Placeholder 1" o:spid="_x0000_s1031" style="position:absolute;left:0;text-align:left;margin-left:-25.9pt;margin-top:-36.9pt;width:639.6pt;height:51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  <o:lock v:ext="edit" grouping="t"/>
            <v:textbox inset=",,3.6pt">
              <w:txbxContent>
                <w:p w14:paraId="75272824" w14:textId="77777777" w:rsidR="00403778" w:rsidRPr="00C516C5" w:rsidRDefault="00403778" w:rsidP="00403778">
                  <w:pPr>
                    <w:pStyle w:val="NormalWeb"/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</w:pPr>
                  <w:r w:rsidRPr="00C516C5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  <w:t>Continuity of Operations Planning: Awareness</w:t>
                  </w:r>
                </w:p>
                <w:p w14:paraId="7A3BF465" w14:textId="77777777" w:rsidR="00403778" w:rsidRPr="00E20DB9" w:rsidRDefault="00403778" w:rsidP="00403778">
                  <w:pPr>
                    <w:pStyle w:val="NormalWeb"/>
                    <w:rPr>
                      <w:sz w:val="14"/>
                    </w:rPr>
                  </w:pPr>
                  <w:r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 xml:space="preserve">Assess: </w:t>
                  </w:r>
                  <w:r w:rsidRPr="00403778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>Records and Data Base Worksheet</w:t>
                  </w:r>
                </w:p>
              </w:txbxContent>
            </v:textbox>
          </v:rect>
        </w:pict>
      </w:r>
    </w:p>
    <w:p w14:paraId="051BBFAF" w14:textId="77777777" w:rsidR="00403778" w:rsidRDefault="00403778" w:rsidP="00B7207B">
      <w:pPr>
        <w:pStyle w:val="COOPTemplate"/>
        <w:ind w:left="360"/>
        <w:rPr>
          <w:rFonts w:ascii="Calibri" w:hAnsi="Calibri" w:cs="Calibri"/>
          <w:b w:val="0"/>
          <w:sz w:val="22"/>
          <w:szCs w:val="22"/>
        </w:rPr>
      </w:pPr>
    </w:p>
    <w:p w14:paraId="14954809" w14:textId="77777777" w:rsidR="0092779F" w:rsidRPr="00B7207B" w:rsidRDefault="00B7207B" w:rsidP="00B7207B">
      <w:pPr>
        <w:pStyle w:val="COOPTemplate"/>
        <w:ind w:left="360"/>
        <w:rPr>
          <w:rFonts w:ascii="Calibri" w:hAnsi="Calibri" w:cs="Calibri"/>
        </w:rPr>
      </w:pPr>
      <w:r w:rsidRPr="00B7207B">
        <w:rPr>
          <w:rFonts w:ascii="Calibri" w:hAnsi="Calibri" w:cs="Calibri"/>
          <w:b w:val="0"/>
          <w:sz w:val="22"/>
          <w:szCs w:val="22"/>
        </w:rPr>
        <w:t xml:space="preserve">Respond to the questions below for each critical process and service that supports your department’s/organizations essential functions. </w:t>
      </w:r>
      <w:r w:rsidR="006147B2">
        <w:rPr>
          <w:rFonts w:ascii="Calibri" w:hAnsi="Calibri" w:cs="Calibri"/>
          <w:b w:val="0"/>
          <w:sz w:val="22"/>
          <w:szCs w:val="22"/>
        </w:rPr>
        <w:t xml:space="preserve">Please note that the table has been competed as an </w:t>
      </w:r>
      <w:r w:rsidRPr="00B7207B">
        <w:rPr>
          <w:rFonts w:ascii="Calibri" w:hAnsi="Calibri" w:cs="Calibri"/>
          <w:b w:val="0"/>
          <w:sz w:val="22"/>
          <w:szCs w:val="22"/>
        </w:rPr>
        <w:t xml:space="preserve">example. </w:t>
      </w:r>
      <w:r w:rsidR="00147A2D" w:rsidRPr="00B7207B">
        <w:rPr>
          <w:rFonts w:ascii="Calibri" w:hAnsi="Calibri" w:cs="Calibri"/>
        </w:rPr>
        <w:t xml:space="preserve"> </w:t>
      </w:r>
    </w:p>
    <w:p w14:paraId="3DF9423C" w14:textId="77777777" w:rsidR="009775CA" w:rsidRDefault="00B7207B" w:rsidP="009775CA">
      <w:pPr>
        <w:numPr>
          <w:ilvl w:val="0"/>
          <w:numId w:val="12"/>
        </w:numPr>
      </w:pPr>
      <w:r>
        <w:t>List a critical process</w:t>
      </w:r>
      <w:r w:rsidR="00147A2D">
        <w:t xml:space="preserve"> and</w:t>
      </w:r>
      <w:r>
        <w:t>/or service</w:t>
      </w:r>
      <w:r w:rsidR="00147A2D">
        <w:t xml:space="preserve"> that </w:t>
      </w:r>
      <w:r>
        <w:t>support</w:t>
      </w:r>
      <w:r w:rsidR="00147A2D">
        <w:t xml:space="preserve"> essential functions.</w:t>
      </w:r>
    </w:p>
    <w:p w14:paraId="1E6EBDC8" w14:textId="77777777" w:rsidR="009775CA" w:rsidRDefault="00147A2D" w:rsidP="009775CA">
      <w:pPr>
        <w:numPr>
          <w:ilvl w:val="0"/>
          <w:numId w:val="12"/>
        </w:numPr>
      </w:pPr>
      <w:r>
        <w:t>List the vital records or databases necessary to perform each critical process or service.</w:t>
      </w:r>
    </w:p>
    <w:p w14:paraId="19736E29" w14:textId="77777777" w:rsidR="009775CA" w:rsidRDefault="00147A2D" w:rsidP="009775CA">
      <w:pPr>
        <w:numPr>
          <w:ilvl w:val="0"/>
          <w:numId w:val="12"/>
        </w:numPr>
      </w:pPr>
      <w:r>
        <w:t>List the vital record’s or database’s: form (paper or electronic) / category (emergency or legal) / type (static or dynamic).</w:t>
      </w:r>
    </w:p>
    <w:p w14:paraId="7C55DFD3" w14:textId="77777777" w:rsidR="009775CA" w:rsidRDefault="00147A2D" w:rsidP="009775CA">
      <w:pPr>
        <w:numPr>
          <w:ilvl w:val="0"/>
          <w:numId w:val="12"/>
        </w:numPr>
      </w:pPr>
      <w:r>
        <w:t xml:space="preserve">If the vital record or database is in paper form, identify the record’s or database’s physical location.  If the vital record or database is in </w:t>
      </w:r>
      <w:proofErr w:type="gramStart"/>
      <w:r>
        <w:t xml:space="preserve">electronic </w:t>
      </w:r>
      <w:r w:rsidR="00C16DA0">
        <w:t xml:space="preserve"> </w:t>
      </w:r>
      <w:r>
        <w:t>form</w:t>
      </w:r>
      <w:proofErr w:type="gramEnd"/>
      <w:r>
        <w:t>, identify the file name and location(s) on a drive.</w:t>
      </w:r>
    </w:p>
    <w:p w14:paraId="0578A60E" w14:textId="77777777" w:rsidR="009775CA" w:rsidRDefault="00147A2D" w:rsidP="009775CA">
      <w:pPr>
        <w:numPr>
          <w:ilvl w:val="0"/>
          <w:numId w:val="12"/>
        </w:numPr>
      </w:pPr>
      <w:r>
        <w:t xml:space="preserve"> Identify the staff member(s) responsible for maintaining the vital record or database.  </w:t>
      </w:r>
    </w:p>
    <w:p w14:paraId="00871911" w14:textId="77777777" w:rsidR="009775CA" w:rsidRDefault="00147A2D" w:rsidP="009775CA">
      <w:pPr>
        <w:numPr>
          <w:ilvl w:val="0"/>
          <w:numId w:val="12"/>
        </w:numPr>
      </w:pPr>
      <w:r>
        <w:t xml:space="preserve">Identify the network or server that supports the vital record or database.  </w:t>
      </w:r>
    </w:p>
    <w:p w14:paraId="59D95A92" w14:textId="77777777" w:rsidR="009775CA" w:rsidRDefault="00147A2D" w:rsidP="009775CA">
      <w:pPr>
        <w:numPr>
          <w:ilvl w:val="0"/>
          <w:numId w:val="12"/>
        </w:numPr>
      </w:pPr>
      <w:r>
        <w:t>Identify the vital record’s or database’s Recovery Point Objective (RPO).</w:t>
      </w:r>
    </w:p>
    <w:p w14:paraId="02747221" w14:textId="77777777" w:rsidR="009775CA" w:rsidRDefault="00147A2D" w:rsidP="009775CA">
      <w:pPr>
        <w:numPr>
          <w:ilvl w:val="0"/>
          <w:numId w:val="12"/>
        </w:numPr>
      </w:pPr>
      <w:r>
        <w:t>Prioritize the vital record or database – the shorter the RPO, the higher the priority.</w:t>
      </w:r>
    </w:p>
    <w:p w14:paraId="484B07D2" w14:textId="77777777" w:rsidR="009775CA" w:rsidRDefault="00147A2D" w:rsidP="009775CA">
      <w:pPr>
        <w:numPr>
          <w:ilvl w:val="0"/>
          <w:numId w:val="12"/>
        </w:numPr>
      </w:pPr>
      <w:r>
        <w:t xml:space="preserve"> Identify any unique risks to which the vital record or database may be susceptible.</w:t>
      </w:r>
    </w:p>
    <w:p w14:paraId="0177E71A" w14:textId="77777777" w:rsidR="009775CA" w:rsidRDefault="00147A2D" w:rsidP="009775CA">
      <w:pPr>
        <w:numPr>
          <w:ilvl w:val="0"/>
          <w:numId w:val="12"/>
        </w:numPr>
      </w:pPr>
      <w:r>
        <w:t>List the current protection method(s) in place for the vital record or database.</w:t>
      </w:r>
    </w:p>
    <w:p w14:paraId="6FE97276" w14:textId="77777777" w:rsidR="00147A2D" w:rsidRDefault="00147A2D" w:rsidP="009775CA">
      <w:pPr>
        <w:numPr>
          <w:ilvl w:val="0"/>
          <w:numId w:val="12"/>
        </w:numPr>
      </w:pPr>
      <w:r>
        <w:t xml:space="preserve"> In considering what additional measures should be performed to protect the vital record or database, answer the questions:  Is offsite storage necessary?  Should the file be stored in an alternative media?  Is duplication necessary? </w:t>
      </w:r>
    </w:p>
    <w:p w14:paraId="69D9048A" w14:textId="77777777" w:rsidR="00C16DA0" w:rsidRDefault="00C16DA0" w:rsidP="00C16DA0">
      <w:pPr>
        <w:ind w:left="720"/>
      </w:pPr>
    </w:p>
    <w:p w14:paraId="45900843" w14:textId="77777777" w:rsidR="0092779F" w:rsidRPr="0092779F" w:rsidRDefault="0092779F" w:rsidP="00147A2D"/>
    <w:p w14:paraId="4199BBEB" w14:textId="77777777" w:rsidR="0092779F" w:rsidRPr="0092779F" w:rsidRDefault="0092779F" w:rsidP="00214B0F">
      <w:pPr>
        <w:pStyle w:val="COOPTemplate"/>
        <w:rPr>
          <w:rFonts w:ascii="Arial" w:hAnsi="Arial"/>
          <w:b w:val="0"/>
          <w:i/>
          <w:sz w:val="18"/>
          <w:szCs w:val="18"/>
        </w:rPr>
      </w:pPr>
      <w:r>
        <w:rPr>
          <w:rFonts w:ascii="Arial" w:hAnsi="Arial"/>
          <w:b w:val="0"/>
          <w:i/>
          <w:sz w:val="18"/>
          <w:szCs w:val="18"/>
        </w:rPr>
        <w:t>Source: Continuity of Operations Plan Guidance for Indian Health Centers, Global Vision Consortium Native American Alliance for Emergency Preparedness, June 2010</w:t>
      </w:r>
    </w:p>
    <w:tbl>
      <w:tblPr>
        <w:tblW w:w="4834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6598"/>
      </w:tblGrid>
      <w:tr w:rsidR="006E34D3" w:rsidRPr="00456415" w14:paraId="6BEC2C7F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41CB0E72" w14:textId="77777777" w:rsidR="006E34D3" w:rsidRPr="00B7207B" w:rsidRDefault="00B7207B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B7207B">
              <w:rPr>
                <w:rFonts w:cs="Calibri"/>
                <w:b/>
                <w:bCs/>
                <w:color w:val="FFFFFF"/>
                <w:szCs w:val="22"/>
              </w:rPr>
              <w:t>Question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25F610B8" w14:textId="77777777" w:rsidR="006E34D3" w:rsidRPr="00456415" w:rsidRDefault="00B7207B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Response </w:t>
            </w:r>
          </w:p>
        </w:tc>
      </w:tr>
      <w:tr w:rsidR="00456415" w:rsidRPr="00456415" w14:paraId="7D4CD3A4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F32E" w14:textId="77777777" w:rsidR="00456415" w:rsidRPr="00456415" w:rsidRDefault="0045641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  <w:p w14:paraId="21450D0C" w14:textId="77777777" w:rsidR="00456415" w:rsidRPr="00456415" w:rsidRDefault="0045641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  <w:p w14:paraId="711236F6" w14:textId="77777777" w:rsidR="00456415" w:rsidRPr="00456415" w:rsidRDefault="006E34D3" w:rsidP="006E34D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  <w:r>
              <w:rPr>
                <w:b/>
              </w:rPr>
              <w:t>1.</w:t>
            </w:r>
            <w:r w:rsidR="00456415" w:rsidRPr="00456415">
              <w:rPr>
                <w:b/>
              </w:rPr>
              <w:t>Critical Process or Service</w:t>
            </w:r>
          </w:p>
          <w:p w14:paraId="62D35EA5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1E2D3B4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5E09295" w14:textId="77777777" w:rsidR="00456415" w:rsidRPr="00456415" w:rsidRDefault="00456415" w:rsidP="00CC750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  <w:p w14:paraId="23643114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5BB82AA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59088A8" w14:textId="77777777" w:rsidR="00456415" w:rsidRPr="00456415" w:rsidRDefault="00456415" w:rsidP="009277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4D740CA" w14:textId="77777777" w:rsidR="00456415" w:rsidRPr="00456415" w:rsidRDefault="00456415" w:rsidP="009277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DD6238" w14:textId="77777777" w:rsidR="00456415" w:rsidRPr="00456415" w:rsidRDefault="00456415" w:rsidP="0092779F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DA35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0678F142" w14:textId="77777777" w:rsidR="006E34D3" w:rsidRDefault="006E34D3">
            <w:pPr>
              <w:rPr>
                <w:i/>
              </w:rPr>
            </w:pPr>
          </w:p>
          <w:p w14:paraId="68CC27D2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  <w:r w:rsidRPr="00456415">
              <w:rPr>
                <w:i/>
              </w:rPr>
              <w:t>Continued service to persons diagnosed with diabetes and hypertension</w:t>
            </w:r>
          </w:p>
          <w:p w14:paraId="7B20A1FD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2DF36D09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EAAAB23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7458C0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1E7D7B1E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EE8FEAC" w14:textId="77777777" w:rsidR="00456415" w:rsidRPr="00456415" w:rsidRDefault="00456415" w:rsidP="00831B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B7EDEFB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2D3D1C80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1C7B21C2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3ACADF5A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13E74B4D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2B408704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65886736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3CEC7CC0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577AAE6F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1882CC9E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6CF07946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60697541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48C41E26" w14:textId="77777777" w:rsidR="00456415" w:rsidRPr="00456415" w:rsidRDefault="00456415">
            <w:pPr>
              <w:rPr>
                <w:rFonts w:cs="Calibri"/>
                <w:b/>
                <w:bCs/>
                <w:szCs w:val="22"/>
              </w:rPr>
            </w:pPr>
          </w:p>
          <w:p w14:paraId="26C561FC" w14:textId="77777777" w:rsidR="00456415" w:rsidRPr="00456415" w:rsidRDefault="00456415" w:rsidP="0045641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</w:tc>
      </w:tr>
      <w:tr w:rsidR="00456415" w:rsidRPr="00456415" w14:paraId="6C395113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32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2548" w14:textId="77777777" w:rsidR="00456415" w:rsidRPr="00456415" w:rsidRDefault="00456415" w:rsidP="00956CA4">
            <w:pPr>
              <w:rPr>
                <w:b/>
              </w:rPr>
            </w:pPr>
          </w:p>
          <w:p w14:paraId="0E82E173" w14:textId="77777777" w:rsidR="00456415" w:rsidRPr="00456415" w:rsidRDefault="00456415" w:rsidP="00956CA4">
            <w:pPr>
              <w:rPr>
                <w:b/>
              </w:rPr>
            </w:pPr>
            <w:r w:rsidRPr="00456415">
              <w:rPr>
                <w:b/>
              </w:rPr>
              <w:t>2. Vital Record or Database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A549" w14:textId="77777777" w:rsidR="00456415" w:rsidRPr="00456415" w:rsidRDefault="00456415" w:rsidP="00956CA4">
            <w:pPr>
              <w:rPr>
                <w:i/>
              </w:rPr>
            </w:pPr>
          </w:p>
          <w:p w14:paraId="4944B750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Patient records</w:t>
            </w:r>
          </w:p>
        </w:tc>
      </w:tr>
      <w:tr w:rsidR="00456415" w:rsidRPr="00456415" w14:paraId="49208DA3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2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3E03" w14:textId="77777777" w:rsidR="00456415" w:rsidRPr="00456415" w:rsidRDefault="00456415" w:rsidP="00956CA4">
            <w:pPr>
              <w:rPr>
                <w:b/>
              </w:rPr>
            </w:pPr>
          </w:p>
          <w:p w14:paraId="019FD987" w14:textId="77777777" w:rsidR="00456415" w:rsidRPr="00456415" w:rsidRDefault="00456415" w:rsidP="00956CA4">
            <w:pPr>
              <w:rPr>
                <w:b/>
              </w:rPr>
            </w:pPr>
          </w:p>
          <w:p w14:paraId="6C68BAD3" w14:textId="77777777" w:rsidR="00456415" w:rsidRPr="00456415" w:rsidRDefault="00456415" w:rsidP="00956CA4">
            <w:pPr>
              <w:rPr>
                <w:b/>
              </w:rPr>
            </w:pPr>
            <w:r w:rsidRPr="00456415">
              <w:rPr>
                <w:b/>
              </w:rPr>
              <w:t>3. Form / Category / Type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25FF" w14:textId="77777777" w:rsidR="00456415" w:rsidRPr="00456415" w:rsidRDefault="00456415" w:rsidP="00956CA4">
            <w:pPr>
              <w:rPr>
                <w:i/>
              </w:rPr>
            </w:pPr>
          </w:p>
          <w:p w14:paraId="4DC25185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Paper</w:t>
            </w:r>
          </w:p>
          <w:p w14:paraId="32BE49C3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Electronic</w:t>
            </w:r>
          </w:p>
        </w:tc>
      </w:tr>
      <w:tr w:rsidR="00456415" w:rsidRPr="00456415" w14:paraId="71D5432B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1072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9137" w14:textId="77777777" w:rsidR="00456415" w:rsidRPr="00456415" w:rsidRDefault="00456415" w:rsidP="00956CA4">
            <w:pPr>
              <w:rPr>
                <w:b/>
              </w:rPr>
            </w:pPr>
          </w:p>
          <w:p w14:paraId="285DAD25" w14:textId="77777777" w:rsidR="00456415" w:rsidRPr="00456415" w:rsidRDefault="00456415" w:rsidP="00956CA4">
            <w:pPr>
              <w:rPr>
                <w:b/>
              </w:rPr>
            </w:pPr>
          </w:p>
          <w:p w14:paraId="2CC826D5" w14:textId="77777777" w:rsidR="00456415" w:rsidRPr="00456415" w:rsidRDefault="00456415" w:rsidP="00956CA4">
            <w:pPr>
              <w:rPr>
                <w:b/>
              </w:rPr>
            </w:pPr>
          </w:p>
          <w:p w14:paraId="158675D0" w14:textId="77777777" w:rsidR="00456415" w:rsidRPr="00456415" w:rsidRDefault="00456415" w:rsidP="00956CA4">
            <w:pPr>
              <w:rPr>
                <w:b/>
              </w:rPr>
            </w:pPr>
            <w:r w:rsidRPr="00456415">
              <w:rPr>
                <w:b/>
              </w:rPr>
              <w:t>4. Location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FC6" w14:textId="77777777" w:rsidR="00456415" w:rsidRPr="00456415" w:rsidRDefault="00456415" w:rsidP="00956CA4">
            <w:pPr>
              <w:rPr>
                <w:i/>
              </w:rPr>
            </w:pPr>
          </w:p>
          <w:p w14:paraId="730121C1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Medical records</w:t>
            </w:r>
          </w:p>
          <w:p w14:paraId="0D78E426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Electronic records stored remotely, can be accessed from provider work stations</w:t>
            </w:r>
          </w:p>
        </w:tc>
      </w:tr>
      <w:tr w:rsidR="00456415" w:rsidRPr="00456415" w14:paraId="2E8FC346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BFC2" w14:textId="77777777" w:rsidR="00456415" w:rsidRPr="00456415" w:rsidRDefault="00456415" w:rsidP="00956CA4">
            <w:pPr>
              <w:rPr>
                <w:b/>
              </w:rPr>
            </w:pPr>
          </w:p>
          <w:p w14:paraId="228F4820" w14:textId="77777777" w:rsidR="00456415" w:rsidRPr="00456415" w:rsidRDefault="00456415" w:rsidP="00956CA4">
            <w:pPr>
              <w:rPr>
                <w:b/>
              </w:rPr>
            </w:pPr>
            <w:r w:rsidRPr="00456415">
              <w:rPr>
                <w:b/>
              </w:rPr>
              <w:t>5. Responsible Staff Member(s)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B483" w14:textId="77777777" w:rsidR="00456415" w:rsidRPr="00456415" w:rsidRDefault="00456415" w:rsidP="00956CA4">
            <w:pPr>
              <w:rPr>
                <w:i/>
              </w:rPr>
            </w:pPr>
          </w:p>
          <w:p w14:paraId="2DEFEAF8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Medical Records</w:t>
            </w:r>
          </w:p>
          <w:p w14:paraId="6815FCCA" w14:textId="77777777" w:rsidR="00456415" w:rsidRPr="00456415" w:rsidRDefault="00456415" w:rsidP="00956CA4">
            <w:pPr>
              <w:rPr>
                <w:i/>
              </w:rPr>
            </w:pPr>
            <w:r w:rsidRPr="00456415">
              <w:rPr>
                <w:i/>
              </w:rPr>
              <w:t>Information Technology Manager</w:t>
            </w:r>
          </w:p>
        </w:tc>
      </w:tr>
      <w:tr w:rsidR="006E34D3" w:rsidRPr="00456415" w14:paraId="1EB5746F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31DD" w14:textId="77777777" w:rsidR="006E34D3" w:rsidRDefault="006E34D3" w:rsidP="006E34D3">
            <w:pPr>
              <w:rPr>
                <w:b/>
              </w:rPr>
            </w:pPr>
          </w:p>
          <w:p w14:paraId="18DCD889" w14:textId="77777777" w:rsidR="006E34D3" w:rsidRDefault="006E34D3" w:rsidP="006E34D3">
            <w:pPr>
              <w:rPr>
                <w:b/>
              </w:rPr>
            </w:pPr>
          </w:p>
          <w:p w14:paraId="6B6BACCD" w14:textId="77777777" w:rsidR="00403778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6. Supporting Network or Server</w:t>
            </w:r>
          </w:p>
          <w:p w14:paraId="1CD114AF" w14:textId="77777777" w:rsidR="00403778" w:rsidRPr="00403778" w:rsidRDefault="00403778" w:rsidP="00403778"/>
          <w:p w14:paraId="1C1339BF" w14:textId="77777777" w:rsidR="00403778" w:rsidRPr="00403778" w:rsidRDefault="00403778" w:rsidP="00403778"/>
          <w:p w14:paraId="289B0265" w14:textId="77777777" w:rsidR="00403778" w:rsidRPr="00403778" w:rsidRDefault="00403778" w:rsidP="00403778"/>
          <w:p w14:paraId="5DB7A465" w14:textId="77777777" w:rsidR="006E34D3" w:rsidRPr="00403778" w:rsidRDefault="00403778" w:rsidP="00403778">
            <w:pPr>
              <w:tabs>
                <w:tab w:val="left" w:pos="2265"/>
              </w:tabs>
            </w:pPr>
            <w:r>
              <w:tab/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B05F" w14:textId="77777777" w:rsidR="006E34D3" w:rsidRDefault="006E34D3" w:rsidP="006E34D3">
            <w:pPr>
              <w:rPr>
                <w:i/>
              </w:rPr>
            </w:pPr>
          </w:p>
          <w:p w14:paraId="25BD2C1E" w14:textId="77777777" w:rsidR="006E34D3" w:rsidRPr="00B2216B" w:rsidRDefault="006E34D3" w:rsidP="006E34D3">
            <w:pPr>
              <w:rPr>
                <w:i/>
              </w:rPr>
            </w:pPr>
          </w:p>
          <w:p w14:paraId="65523B2F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TBA</w:t>
            </w:r>
          </w:p>
        </w:tc>
      </w:tr>
      <w:tr w:rsidR="006E34D3" w:rsidRPr="00456415" w14:paraId="09E10EA3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918E" w14:textId="77777777" w:rsidR="006E34D3" w:rsidRDefault="006E34D3" w:rsidP="006E34D3">
            <w:pPr>
              <w:rPr>
                <w:b/>
              </w:rPr>
            </w:pPr>
          </w:p>
          <w:p w14:paraId="721CB625" w14:textId="77777777" w:rsidR="006E34D3" w:rsidRDefault="006E34D3" w:rsidP="006E34D3">
            <w:pPr>
              <w:rPr>
                <w:b/>
              </w:rPr>
            </w:pPr>
          </w:p>
          <w:p w14:paraId="5284A72C" w14:textId="77777777" w:rsidR="006E34D3" w:rsidRPr="008E418E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7. Maintenance Frequency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1508" w14:textId="77777777" w:rsidR="006E34D3" w:rsidRDefault="006E34D3" w:rsidP="006E34D3">
            <w:pPr>
              <w:rPr>
                <w:i/>
              </w:rPr>
            </w:pPr>
          </w:p>
          <w:p w14:paraId="2549A9C7" w14:textId="77777777" w:rsidR="006E34D3" w:rsidRPr="00B2216B" w:rsidRDefault="006E34D3" w:rsidP="006E34D3">
            <w:pPr>
              <w:rPr>
                <w:i/>
              </w:rPr>
            </w:pPr>
          </w:p>
          <w:p w14:paraId="1602F0EA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Weekly</w:t>
            </w:r>
          </w:p>
        </w:tc>
      </w:tr>
      <w:tr w:rsidR="006E34D3" w:rsidRPr="00456415" w14:paraId="11DA9227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3D96" w14:textId="77777777" w:rsidR="006E34D3" w:rsidRDefault="006E34D3" w:rsidP="006E34D3">
            <w:pPr>
              <w:rPr>
                <w:b/>
              </w:rPr>
            </w:pPr>
          </w:p>
          <w:p w14:paraId="56766A13" w14:textId="77777777" w:rsidR="006E34D3" w:rsidRPr="008E418E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8. Recovery Point Objective (RPO)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38CA" w14:textId="77777777" w:rsidR="006E34D3" w:rsidRPr="00B2216B" w:rsidRDefault="006E34D3" w:rsidP="006E34D3">
            <w:pPr>
              <w:rPr>
                <w:i/>
              </w:rPr>
            </w:pPr>
          </w:p>
          <w:p w14:paraId="2A1F67B7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1 day</w:t>
            </w:r>
          </w:p>
        </w:tc>
      </w:tr>
      <w:tr w:rsidR="006E34D3" w:rsidRPr="00456415" w14:paraId="3099B3D8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9E44" w14:textId="77777777" w:rsidR="006E34D3" w:rsidRDefault="006E34D3" w:rsidP="006E34D3">
            <w:pPr>
              <w:rPr>
                <w:b/>
              </w:rPr>
            </w:pPr>
          </w:p>
          <w:p w14:paraId="03353DBF" w14:textId="77777777" w:rsidR="006E34D3" w:rsidRPr="008E418E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9. Priority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6DDA" w14:textId="77777777" w:rsidR="006E34D3" w:rsidRPr="00B2216B" w:rsidRDefault="006E34D3" w:rsidP="006E34D3">
            <w:pPr>
              <w:rPr>
                <w:i/>
              </w:rPr>
            </w:pPr>
          </w:p>
          <w:p w14:paraId="6F191724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1</w:t>
            </w:r>
          </w:p>
        </w:tc>
      </w:tr>
      <w:tr w:rsidR="006E34D3" w:rsidRPr="00456415" w14:paraId="52294C8F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3160" w14:textId="77777777" w:rsidR="006E34D3" w:rsidRDefault="006E34D3" w:rsidP="006E34D3">
            <w:pPr>
              <w:rPr>
                <w:b/>
              </w:rPr>
            </w:pPr>
          </w:p>
          <w:p w14:paraId="5D93E36D" w14:textId="77777777" w:rsidR="006E34D3" w:rsidRPr="008E418E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10. Unique Risk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A53E" w14:textId="77777777" w:rsidR="006E34D3" w:rsidRPr="00B2216B" w:rsidRDefault="006E34D3" w:rsidP="006E34D3">
            <w:pPr>
              <w:rPr>
                <w:i/>
              </w:rPr>
            </w:pPr>
          </w:p>
          <w:p w14:paraId="4E37EA6E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Must maintain secure storage of medical records</w:t>
            </w:r>
          </w:p>
        </w:tc>
      </w:tr>
      <w:tr w:rsidR="006E34D3" w:rsidRPr="00456415" w14:paraId="1A351C77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1072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F88C" w14:textId="77777777" w:rsidR="006E34D3" w:rsidRDefault="006E34D3" w:rsidP="006E34D3">
            <w:pPr>
              <w:rPr>
                <w:b/>
              </w:rPr>
            </w:pPr>
          </w:p>
          <w:p w14:paraId="43CDCA3B" w14:textId="77777777" w:rsidR="006E34D3" w:rsidRDefault="006E34D3" w:rsidP="006E34D3">
            <w:pPr>
              <w:rPr>
                <w:b/>
              </w:rPr>
            </w:pPr>
          </w:p>
          <w:p w14:paraId="48D41C30" w14:textId="77777777" w:rsidR="006E34D3" w:rsidRDefault="006E34D3" w:rsidP="006E34D3">
            <w:pPr>
              <w:rPr>
                <w:b/>
              </w:rPr>
            </w:pPr>
          </w:p>
          <w:p w14:paraId="0C4A46B7" w14:textId="77777777" w:rsidR="006E34D3" w:rsidRPr="008E418E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11. Current Protection Method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95D4" w14:textId="77777777" w:rsidR="006E34D3" w:rsidRPr="00B2216B" w:rsidRDefault="006E34D3" w:rsidP="006E34D3">
            <w:pPr>
              <w:rPr>
                <w:i/>
              </w:rPr>
            </w:pPr>
          </w:p>
          <w:p w14:paraId="248B9419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Offsite pass word protected electronic records.</w:t>
            </w:r>
          </w:p>
          <w:p w14:paraId="19BD51C2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Daily backup.</w:t>
            </w:r>
          </w:p>
          <w:p w14:paraId="0EF64EAE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Paper records in locked cabinets in locked file room</w:t>
            </w:r>
          </w:p>
        </w:tc>
      </w:tr>
      <w:tr w:rsidR="006E34D3" w:rsidRPr="00456415" w14:paraId="56F49167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BE00" w14:textId="77777777" w:rsidR="006E34D3" w:rsidRDefault="006E34D3" w:rsidP="006E34D3">
            <w:pPr>
              <w:rPr>
                <w:b/>
              </w:rPr>
            </w:pPr>
          </w:p>
          <w:p w14:paraId="2C32C564" w14:textId="77777777" w:rsidR="006E34D3" w:rsidRPr="008E418E" w:rsidRDefault="006E34D3" w:rsidP="006E34D3">
            <w:pPr>
              <w:rPr>
                <w:b/>
              </w:rPr>
            </w:pPr>
            <w:r w:rsidRPr="008E418E">
              <w:rPr>
                <w:b/>
              </w:rPr>
              <w:t>12. Offsite storage? / Alternative Storage Media? / Duplication?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5A6F" w14:textId="77777777" w:rsidR="006E34D3" w:rsidRPr="00B2216B" w:rsidRDefault="006E34D3" w:rsidP="006E34D3">
            <w:pPr>
              <w:rPr>
                <w:i/>
              </w:rPr>
            </w:pPr>
          </w:p>
          <w:p w14:paraId="3E591B48" w14:textId="77777777" w:rsidR="006E34D3" w:rsidRPr="00B2216B" w:rsidRDefault="006E34D3" w:rsidP="006E34D3">
            <w:pPr>
              <w:rPr>
                <w:i/>
              </w:rPr>
            </w:pPr>
          </w:p>
          <w:p w14:paraId="7B787384" w14:textId="77777777" w:rsidR="006E34D3" w:rsidRPr="00B2216B" w:rsidRDefault="006E34D3" w:rsidP="006E34D3">
            <w:pPr>
              <w:rPr>
                <w:i/>
              </w:rPr>
            </w:pPr>
            <w:r w:rsidRPr="00B2216B">
              <w:rPr>
                <w:i/>
              </w:rPr>
              <w:t>Offsite storage and daily backup of electronic records.</w:t>
            </w:r>
          </w:p>
        </w:tc>
      </w:tr>
    </w:tbl>
    <w:p w14:paraId="7F7AFF65" w14:textId="77777777" w:rsidR="00403778" w:rsidRDefault="00403778" w:rsidP="00EC0F5E">
      <w:pPr>
        <w:rPr>
          <w:rFonts w:cs="Calibri"/>
          <w:b/>
          <w:bCs/>
          <w:color w:val="FFFFFF"/>
          <w:szCs w:val="22"/>
        </w:rPr>
        <w:sectPr w:rsidR="00403778" w:rsidSect="00403778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CA4C3DF" w14:textId="77777777" w:rsidR="00403778" w:rsidRDefault="00403778"/>
    <w:p w14:paraId="47FB175B" w14:textId="77777777" w:rsidR="00403778" w:rsidRPr="00403778" w:rsidRDefault="00403778" w:rsidP="00403778"/>
    <w:p w14:paraId="06BBD3A1" w14:textId="77777777" w:rsidR="00403778" w:rsidRPr="00403778" w:rsidRDefault="00403778" w:rsidP="00403778"/>
    <w:p w14:paraId="6EB28B98" w14:textId="77777777" w:rsidR="00403778" w:rsidRPr="00403778" w:rsidRDefault="00403778" w:rsidP="00403778"/>
    <w:p w14:paraId="52A24AB1" w14:textId="77777777" w:rsidR="00403778" w:rsidRPr="00403778" w:rsidRDefault="00403778" w:rsidP="00403778"/>
    <w:p w14:paraId="37184789" w14:textId="77777777" w:rsidR="00403778" w:rsidRPr="00403778" w:rsidRDefault="00403778" w:rsidP="00403778"/>
    <w:p w14:paraId="397D2770" w14:textId="77777777" w:rsidR="00403778" w:rsidRPr="00403778" w:rsidRDefault="00403778" w:rsidP="00403778"/>
    <w:p w14:paraId="115ED745" w14:textId="77777777" w:rsidR="00403778" w:rsidRPr="00403778" w:rsidRDefault="00403778" w:rsidP="00403778"/>
    <w:p w14:paraId="7E7534E6" w14:textId="77777777" w:rsidR="00403778" w:rsidRPr="00403778" w:rsidRDefault="00403778" w:rsidP="00403778"/>
    <w:p w14:paraId="717B5CA7" w14:textId="77777777" w:rsidR="00403778" w:rsidRPr="00403778" w:rsidRDefault="00403778" w:rsidP="00403778"/>
    <w:p w14:paraId="249E71AC" w14:textId="77777777" w:rsidR="00403778" w:rsidRPr="00403778" w:rsidRDefault="00403778" w:rsidP="00403778"/>
    <w:p w14:paraId="6D7BA8D3" w14:textId="77777777" w:rsidR="00403778" w:rsidRPr="00403778" w:rsidRDefault="00403778" w:rsidP="00403778"/>
    <w:p w14:paraId="3C08A296" w14:textId="77777777" w:rsidR="00403778" w:rsidRPr="00403778" w:rsidRDefault="00403778" w:rsidP="00403778"/>
    <w:p w14:paraId="325218C1" w14:textId="77777777" w:rsidR="00403778" w:rsidRPr="00403778" w:rsidRDefault="00403778" w:rsidP="00403778"/>
    <w:p w14:paraId="128C69CD" w14:textId="77777777" w:rsidR="00403778" w:rsidRPr="00403778" w:rsidRDefault="00403778" w:rsidP="00403778"/>
    <w:p w14:paraId="2FC38E1A" w14:textId="77777777" w:rsidR="00403778" w:rsidRPr="00403778" w:rsidRDefault="00403778" w:rsidP="00403778"/>
    <w:p w14:paraId="7C2F50DC" w14:textId="77777777" w:rsidR="00403778" w:rsidRPr="00403778" w:rsidRDefault="00403778" w:rsidP="00403778"/>
    <w:p w14:paraId="3E3E0AD2" w14:textId="77777777" w:rsidR="00403778" w:rsidRPr="00403778" w:rsidRDefault="00403778" w:rsidP="00403778"/>
    <w:p w14:paraId="6D3200B7" w14:textId="77777777" w:rsidR="00403778" w:rsidRPr="00403778" w:rsidRDefault="00403778" w:rsidP="00403778"/>
    <w:p w14:paraId="325251EF" w14:textId="77777777" w:rsidR="00403778" w:rsidRPr="00403778" w:rsidRDefault="00403778" w:rsidP="00403778"/>
    <w:p w14:paraId="1B1E1591" w14:textId="77777777" w:rsidR="00403778" w:rsidRPr="00403778" w:rsidRDefault="00403778" w:rsidP="00403778"/>
    <w:p w14:paraId="6C2E2A0C" w14:textId="77777777" w:rsidR="00403778" w:rsidRPr="00403778" w:rsidRDefault="00403778" w:rsidP="00403778"/>
    <w:p w14:paraId="42100E69" w14:textId="77777777" w:rsidR="00403778" w:rsidRDefault="00403778"/>
    <w:p w14:paraId="7D05BC51" w14:textId="77777777" w:rsidR="00403778" w:rsidRDefault="00403778" w:rsidP="00403778">
      <w:pPr>
        <w:tabs>
          <w:tab w:val="left" w:pos="1500"/>
        </w:tabs>
      </w:pPr>
      <w:r>
        <w:tab/>
      </w:r>
    </w:p>
    <w:p w14:paraId="60165806" w14:textId="77777777" w:rsidR="00403778" w:rsidRDefault="00403778">
      <w:r w:rsidRPr="00403778">
        <w:br w:type="page"/>
      </w:r>
    </w:p>
    <w:tbl>
      <w:tblPr>
        <w:tblW w:w="4834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6598"/>
      </w:tblGrid>
      <w:tr w:rsidR="00B7207B" w:rsidRPr="00456415" w14:paraId="3C9F81E0" w14:textId="77777777" w:rsidTr="00EC0F5E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543BCDE6" w14:textId="77777777" w:rsidR="00B7207B" w:rsidRPr="00B7207B" w:rsidRDefault="00B7207B" w:rsidP="00EC0F5E">
            <w:pPr>
              <w:rPr>
                <w:rFonts w:cs="Calibri"/>
                <w:b/>
                <w:bCs/>
                <w:color w:val="FFFFFF"/>
                <w:szCs w:val="22"/>
              </w:rPr>
            </w:pPr>
            <w:r w:rsidRPr="00B7207B">
              <w:rPr>
                <w:rFonts w:cs="Calibri"/>
                <w:b/>
                <w:bCs/>
                <w:color w:val="FFFFFF"/>
                <w:szCs w:val="22"/>
              </w:rPr>
              <w:t>Question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1556C3BA" w14:textId="77777777" w:rsidR="00B7207B" w:rsidRPr="00456415" w:rsidRDefault="00B7207B" w:rsidP="00EC0F5E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 xml:space="preserve">Response </w:t>
            </w:r>
          </w:p>
        </w:tc>
      </w:tr>
      <w:tr w:rsidR="00B7207B" w:rsidRPr="00456415" w14:paraId="4A7C85DD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636E8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  <w:p w14:paraId="76B53586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  <w:p w14:paraId="20D34E51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  <w:r>
              <w:rPr>
                <w:b/>
              </w:rPr>
              <w:t>1.</w:t>
            </w:r>
            <w:r w:rsidRPr="00456415">
              <w:rPr>
                <w:b/>
              </w:rPr>
              <w:t>Critical Process or Service</w:t>
            </w:r>
          </w:p>
          <w:p w14:paraId="65703DFC" w14:textId="77777777" w:rsidR="00B7207B" w:rsidRPr="00456415" w:rsidRDefault="00B7207B" w:rsidP="006E3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E06CE1B" w14:textId="77777777" w:rsidR="00B7207B" w:rsidRPr="00456415" w:rsidRDefault="00B7207B" w:rsidP="006E3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61DA852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  <w:p w14:paraId="3ACF0258" w14:textId="77777777" w:rsidR="00B7207B" w:rsidRPr="00456415" w:rsidRDefault="00B7207B" w:rsidP="006E3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299B86B" w14:textId="77777777" w:rsidR="00B7207B" w:rsidRPr="00456415" w:rsidRDefault="00B7207B" w:rsidP="006E34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E44C187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EC13E05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67527D3" w14:textId="77777777" w:rsidR="00B7207B" w:rsidRPr="00456415" w:rsidRDefault="00B7207B" w:rsidP="006E34D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5939C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41197090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3FFC" w14:textId="77777777" w:rsidR="00B7207B" w:rsidRPr="00456415" w:rsidRDefault="00B7207B" w:rsidP="006E34D3">
            <w:pPr>
              <w:rPr>
                <w:b/>
              </w:rPr>
            </w:pPr>
          </w:p>
          <w:p w14:paraId="712B7212" w14:textId="77777777" w:rsidR="00B7207B" w:rsidRPr="00456415" w:rsidRDefault="00B7207B" w:rsidP="006E34D3">
            <w:pPr>
              <w:rPr>
                <w:b/>
              </w:rPr>
            </w:pPr>
            <w:r w:rsidRPr="00456415">
              <w:rPr>
                <w:b/>
              </w:rPr>
              <w:t>2. Vital Record or Database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2057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5AF77BC8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1EAE" w14:textId="77777777" w:rsidR="00B7207B" w:rsidRPr="00456415" w:rsidRDefault="00B7207B" w:rsidP="006E34D3">
            <w:pPr>
              <w:rPr>
                <w:b/>
              </w:rPr>
            </w:pPr>
          </w:p>
          <w:p w14:paraId="07A5AEF0" w14:textId="77777777" w:rsidR="00B7207B" w:rsidRPr="00456415" w:rsidRDefault="00B7207B" w:rsidP="006E34D3">
            <w:pPr>
              <w:rPr>
                <w:b/>
              </w:rPr>
            </w:pPr>
            <w:r w:rsidRPr="00456415">
              <w:rPr>
                <w:b/>
              </w:rPr>
              <w:t>3. Form / Category / Type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4E9BA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16F5BCFA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8132" w14:textId="77777777" w:rsidR="00B7207B" w:rsidRDefault="00B7207B" w:rsidP="006E34D3">
            <w:pPr>
              <w:rPr>
                <w:b/>
              </w:rPr>
            </w:pPr>
          </w:p>
          <w:p w14:paraId="3BED3754" w14:textId="77777777" w:rsidR="00B7207B" w:rsidRDefault="00B7207B" w:rsidP="006E34D3">
            <w:pPr>
              <w:rPr>
                <w:b/>
              </w:rPr>
            </w:pPr>
            <w:r w:rsidRPr="00456415">
              <w:rPr>
                <w:b/>
              </w:rPr>
              <w:t>4. Location</w:t>
            </w:r>
          </w:p>
          <w:p w14:paraId="16705507" w14:textId="77777777" w:rsidR="00B7207B" w:rsidRDefault="00B7207B" w:rsidP="006E34D3">
            <w:pPr>
              <w:rPr>
                <w:b/>
              </w:rPr>
            </w:pPr>
          </w:p>
          <w:p w14:paraId="6E7ABA44" w14:textId="77777777" w:rsidR="00B7207B" w:rsidRDefault="00B7207B" w:rsidP="006E34D3">
            <w:pPr>
              <w:rPr>
                <w:b/>
              </w:rPr>
            </w:pPr>
          </w:p>
          <w:p w14:paraId="7548C2E7" w14:textId="77777777" w:rsidR="00B7207B" w:rsidRPr="00456415" w:rsidRDefault="00B7207B" w:rsidP="006E34D3">
            <w:pPr>
              <w:rPr>
                <w:b/>
              </w:rPr>
            </w:pP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1008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2FDC8B0D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93E4" w14:textId="77777777" w:rsidR="00B7207B" w:rsidRPr="00456415" w:rsidRDefault="00B7207B" w:rsidP="006E34D3">
            <w:pPr>
              <w:rPr>
                <w:b/>
              </w:rPr>
            </w:pPr>
          </w:p>
          <w:p w14:paraId="29B98033" w14:textId="77777777" w:rsidR="00B7207B" w:rsidRPr="00456415" w:rsidRDefault="00B7207B" w:rsidP="006E34D3">
            <w:pPr>
              <w:rPr>
                <w:b/>
              </w:rPr>
            </w:pPr>
            <w:r w:rsidRPr="00456415">
              <w:rPr>
                <w:b/>
              </w:rPr>
              <w:t>5. Responsible Staff Member(s)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ED6F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08BB9C86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F2F64" w14:textId="77777777" w:rsidR="00B7207B" w:rsidRDefault="00B7207B" w:rsidP="006E34D3">
            <w:pPr>
              <w:rPr>
                <w:b/>
              </w:rPr>
            </w:pPr>
          </w:p>
          <w:p w14:paraId="3959D59D" w14:textId="77777777" w:rsidR="00B7207B" w:rsidRDefault="00B7207B" w:rsidP="006E34D3">
            <w:pPr>
              <w:rPr>
                <w:b/>
              </w:rPr>
            </w:pPr>
          </w:p>
          <w:p w14:paraId="4664AA0C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6. Supporting Network or Server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692D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4A8F673C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647F" w14:textId="77777777" w:rsidR="00B7207B" w:rsidRDefault="00B7207B" w:rsidP="006E34D3">
            <w:pPr>
              <w:rPr>
                <w:b/>
              </w:rPr>
            </w:pPr>
          </w:p>
          <w:p w14:paraId="12CC2F3C" w14:textId="77777777" w:rsidR="00B7207B" w:rsidRDefault="00B7207B" w:rsidP="006E34D3">
            <w:pPr>
              <w:rPr>
                <w:b/>
              </w:rPr>
            </w:pPr>
          </w:p>
          <w:p w14:paraId="3E3CD522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7. Maintenance Frequency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94601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0CD5F5EA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3E96" w14:textId="77777777" w:rsidR="00B7207B" w:rsidRDefault="00B7207B" w:rsidP="006E34D3">
            <w:pPr>
              <w:rPr>
                <w:b/>
              </w:rPr>
            </w:pPr>
          </w:p>
          <w:p w14:paraId="7205FFDE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8. Recovery Point Objective (RPO)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5DFC2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237C9F81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7BCCC" w14:textId="77777777" w:rsidR="00B7207B" w:rsidRDefault="00B7207B" w:rsidP="006E34D3">
            <w:pPr>
              <w:rPr>
                <w:b/>
              </w:rPr>
            </w:pPr>
          </w:p>
          <w:p w14:paraId="662286B8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9. Priority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72BEA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2FB0093E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D620" w14:textId="77777777" w:rsidR="00B7207B" w:rsidRDefault="00B7207B" w:rsidP="006E34D3">
            <w:pPr>
              <w:rPr>
                <w:b/>
              </w:rPr>
            </w:pPr>
          </w:p>
          <w:p w14:paraId="37C687A8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10. Unique Risk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FF96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18C97F49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4AA5" w14:textId="77777777" w:rsidR="00B7207B" w:rsidRDefault="00B7207B" w:rsidP="006E34D3">
            <w:pPr>
              <w:rPr>
                <w:b/>
              </w:rPr>
            </w:pPr>
          </w:p>
          <w:p w14:paraId="55BF5B7B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11. Current Protection Method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558B9" w14:textId="77777777" w:rsidR="00B7207B" w:rsidRPr="00B2216B" w:rsidRDefault="00B7207B" w:rsidP="006E34D3">
            <w:pPr>
              <w:rPr>
                <w:i/>
              </w:rPr>
            </w:pPr>
          </w:p>
        </w:tc>
      </w:tr>
      <w:tr w:rsidR="00B7207B" w:rsidRPr="00456415" w14:paraId="6AAC92A3" w14:textId="77777777" w:rsidTr="006E34D3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D157" w14:textId="77777777" w:rsidR="00B7207B" w:rsidRDefault="00B7207B" w:rsidP="006E34D3">
            <w:pPr>
              <w:rPr>
                <w:b/>
              </w:rPr>
            </w:pPr>
          </w:p>
          <w:p w14:paraId="707FA475" w14:textId="77777777" w:rsidR="00B7207B" w:rsidRPr="008E418E" w:rsidRDefault="00B7207B" w:rsidP="006E34D3">
            <w:pPr>
              <w:rPr>
                <w:b/>
              </w:rPr>
            </w:pPr>
            <w:r w:rsidRPr="008E418E">
              <w:rPr>
                <w:b/>
              </w:rPr>
              <w:t>12. Offsite storage? / Alternative Storage Media? / Duplication?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22FF" w14:textId="77777777" w:rsidR="00B7207B" w:rsidRPr="00B2216B" w:rsidRDefault="00B7207B" w:rsidP="006E34D3">
            <w:pPr>
              <w:rPr>
                <w:i/>
              </w:rPr>
            </w:pPr>
          </w:p>
        </w:tc>
      </w:tr>
    </w:tbl>
    <w:p w14:paraId="798256BF" w14:textId="77777777" w:rsidR="00147A2D" w:rsidRPr="0079511B" w:rsidRDefault="00147A2D" w:rsidP="00D12F03">
      <w:pPr>
        <w:spacing w:after="120"/>
        <w:rPr>
          <w:rFonts w:ascii="Palatino Linotype" w:hAnsi="Palatino Linotype"/>
          <w:sz w:val="24"/>
        </w:rPr>
      </w:pPr>
    </w:p>
    <w:sectPr w:rsidR="00147A2D" w:rsidRPr="0079511B" w:rsidSect="0040377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0BD2" w14:textId="77777777" w:rsidR="001B31BC" w:rsidRDefault="001B31BC" w:rsidP="00BA4A06">
      <w:r>
        <w:separator/>
      </w:r>
    </w:p>
  </w:endnote>
  <w:endnote w:type="continuationSeparator" w:id="0">
    <w:p w14:paraId="19C7A3AC" w14:textId="77777777" w:rsidR="001B31BC" w:rsidRDefault="001B31BC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6B4E" w14:textId="77777777" w:rsidR="00403778" w:rsidRDefault="00403778">
    <w:pPr>
      <w:pStyle w:val="Footer"/>
    </w:pPr>
    <w:r>
      <w:rPr>
        <w:noProof/>
      </w:rPr>
      <w:pict w14:anchorId="2E692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69" o:spid="_x0000_s2050" type="#_x0000_t75" style="position:absolute;margin-left:-27.05pt;margin-top:-16.55pt;width:70.65pt;height:38.05pt;z-index:251658240;visibility:visible" wrapcoords="-230 0 -230 21176 21600 21176 21600 0 -230 0">
          <v:imagedata r:id="rId1" o:title=""/>
          <w10:wrap type="through"/>
        </v:shape>
      </w:pict>
    </w:r>
    <w:r>
      <w:rPr>
        <w:noProof/>
      </w:rPr>
      <w:pict w14:anchorId="12C04516">
        <v:shape id="Picture 2070" o:spid="_x0000_s2049" type="#_x0000_t75" style="position:absolute;margin-left:426pt;margin-top:-14.25pt;width:102pt;height:35.75pt;z-index:251657216;visibility:visible" wrapcoords="635 2700 635 18450 6353 18450 19535 17100 20806 16650 20806 4950 19218 4500 6353 2700 635 2700">
          <v:imagedata r:id="rId2" o:title="OPHP_threelinesright-color-small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5006" w14:textId="77777777" w:rsidR="001B31BC" w:rsidRDefault="001B31BC" w:rsidP="00BA4A06">
      <w:r>
        <w:separator/>
      </w:r>
    </w:p>
  </w:footnote>
  <w:footnote w:type="continuationSeparator" w:id="0">
    <w:p w14:paraId="39058414" w14:textId="77777777" w:rsidR="001B31BC" w:rsidRDefault="001B31BC" w:rsidP="00BA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7053"/>
    <w:multiLevelType w:val="hybridMultilevel"/>
    <w:tmpl w:val="EFBA7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20C92"/>
    <w:multiLevelType w:val="hybridMultilevel"/>
    <w:tmpl w:val="F13AEEE0"/>
    <w:lvl w:ilvl="0" w:tplc="AE687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94924"/>
    <w:multiLevelType w:val="hybridMultilevel"/>
    <w:tmpl w:val="A4721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F7A18"/>
    <w:multiLevelType w:val="hybridMultilevel"/>
    <w:tmpl w:val="4CD4BEB4"/>
    <w:lvl w:ilvl="0" w:tplc="A1DA8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F71"/>
    <w:multiLevelType w:val="hybridMultilevel"/>
    <w:tmpl w:val="B6823C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D72D61"/>
    <w:multiLevelType w:val="hybridMultilevel"/>
    <w:tmpl w:val="38489E58"/>
    <w:lvl w:ilvl="0" w:tplc="DFCADC5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A8E6EC90">
      <w:start w:val="1"/>
      <w:numFmt w:val="lowerLetter"/>
      <w:pStyle w:val="StyleStyleArialRedArial10pt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C19C3"/>
    <w:rsid w:val="000C5860"/>
    <w:rsid w:val="000D04EF"/>
    <w:rsid w:val="00135D95"/>
    <w:rsid w:val="00147A2D"/>
    <w:rsid w:val="00160062"/>
    <w:rsid w:val="00164860"/>
    <w:rsid w:val="001813DE"/>
    <w:rsid w:val="001953F4"/>
    <w:rsid w:val="001B31BC"/>
    <w:rsid w:val="001D4214"/>
    <w:rsid w:val="001E4621"/>
    <w:rsid w:val="001F2D1E"/>
    <w:rsid w:val="00214B0F"/>
    <w:rsid w:val="002277AE"/>
    <w:rsid w:val="002A5055"/>
    <w:rsid w:val="002A5A8D"/>
    <w:rsid w:val="002C2E8A"/>
    <w:rsid w:val="00302C85"/>
    <w:rsid w:val="00364227"/>
    <w:rsid w:val="00384962"/>
    <w:rsid w:val="00397933"/>
    <w:rsid w:val="003A3542"/>
    <w:rsid w:val="003B74B9"/>
    <w:rsid w:val="003D3B9C"/>
    <w:rsid w:val="003E52D1"/>
    <w:rsid w:val="00403778"/>
    <w:rsid w:val="00427FEE"/>
    <w:rsid w:val="00456415"/>
    <w:rsid w:val="00464CD0"/>
    <w:rsid w:val="004727A7"/>
    <w:rsid w:val="00493220"/>
    <w:rsid w:val="004976FA"/>
    <w:rsid w:val="004C01C7"/>
    <w:rsid w:val="00532585"/>
    <w:rsid w:val="00566359"/>
    <w:rsid w:val="00576738"/>
    <w:rsid w:val="005A0717"/>
    <w:rsid w:val="005B18A9"/>
    <w:rsid w:val="005D252F"/>
    <w:rsid w:val="005F74D7"/>
    <w:rsid w:val="005F7E72"/>
    <w:rsid w:val="00612CC8"/>
    <w:rsid w:val="006147B2"/>
    <w:rsid w:val="0065277C"/>
    <w:rsid w:val="006806EF"/>
    <w:rsid w:val="006D3A80"/>
    <w:rsid w:val="006E34D3"/>
    <w:rsid w:val="0070062A"/>
    <w:rsid w:val="00735D6A"/>
    <w:rsid w:val="00740CAE"/>
    <w:rsid w:val="00771D9F"/>
    <w:rsid w:val="00791C27"/>
    <w:rsid w:val="0079511B"/>
    <w:rsid w:val="007A0B22"/>
    <w:rsid w:val="007D0424"/>
    <w:rsid w:val="007D402A"/>
    <w:rsid w:val="007F06AE"/>
    <w:rsid w:val="007F1238"/>
    <w:rsid w:val="007F5024"/>
    <w:rsid w:val="00812FC8"/>
    <w:rsid w:val="00831B93"/>
    <w:rsid w:val="008354D0"/>
    <w:rsid w:val="0083766B"/>
    <w:rsid w:val="0086518B"/>
    <w:rsid w:val="0087588A"/>
    <w:rsid w:val="008811BF"/>
    <w:rsid w:val="008907B3"/>
    <w:rsid w:val="00895D8A"/>
    <w:rsid w:val="008A5912"/>
    <w:rsid w:val="008C123C"/>
    <w:rsid w:val="008C7710"/>
    <w:rsid w:val="008E4E75"/>
    <w:rsid w:val="008F0B0D"/>
    <w:rsid w:val="00907287"/>
    <w:rsid w:val="00910C9F"/>
    <w:rsid w:val="0092727C"/>
    <w:rsid w:val="0092779F"/>
    <w:rsid w:val="009555A8"/>
    <w:rsid w:val="00956CA4"/>
    <w:rsid w:val="00963680"/>
    <w:rsid w:val="009775CA"/>
    <w:rsid w:val="00986C8E"/>
    <w:rsid w:val="009B7CCB"/>
    <w:rsid w:val="009C4820"/>
    <w:rsid w:val="009C6105"/>
    <w:rsid w:val="00A45541"/>
    <w:rsid w:val="00A62181"/>
    <w:rsid w:val="00A630F0"/>
    <w:rsid w:val="00A86254"/>
    <w:rsid w:val="00AA3913"/>
    <w:rsid w:val="00AB2614"/>
    <w:rsid w:val="00AC1620"/>
    <w:rsid w:val="00AD6348"/>
    <w:rsid w:val="00AE5E6A"/>
    <w:rsid w:val="00AE7662"/>
    <w:rsid w:val="00B2216B"/>
    <w:rsid w:val="00B7207B"/>
    <w:rsid w:val="00B916E7"/>
    <w:rsid w:val="00B95C85"/>
    <w:rsid w:val="00BA4A06"/>
    <w:rsid w:val="00BB51B6"/>
    <w:rsid w:val="00BC79CE"/>
    <w:rsid w:val="00C16DA0"/>
    <w:rsid w:val="00C405C6"/>
    <w:rsid w:val="00C71D44"/>
    <w:rsid w:val="00C93EBC"/>
    <w:rsid w:val="00C95DEA"/>
    <w:rsid w:val="00CA059A"/>
    <w:rsid w:val="00CA6D67"/>
    <w:rsid w:val="00CB1057"/>
    <w:rsid w:val="00CC6E37"/>
    <w:rsid w:val="00CC7500"/>
    <w:rsid w:val="00CD3E93"/>
    <w:rsid w:val="00CE6538"/>
    <w:rsid w:val="00D12F03"/>
    <w:rsid w:val="00D15E42"/>
    <w:rsid w:val="00D17D5D"/>
    <w:rsid w:val="00D26206"/>
    <w:rsid w:val="00D33E1E"/>
    <w:rsid w:val="00D520B3"/>
    <w:rsid w:val="00D60E26"/>
    <w:rsid w:val="00D83E1C"/>
    <w:rsid w:val="00D87286"/>
    <w:rsid w:val="00DE00A6"/>
    <w:rsid w:val="00E1094D"/>
    <w:rsid w:val="00E10E33"/>
    <w:rsid w:val="00E11C54"/>
    <w:rsid w:val="00E5037B"/>
    <w:rsid w:val="00E8668B"/>
    <w:rsid w:val="00E94B18"/>
    <w:rsid w:val="00EB3423"/>
    <w:rsid w:val="00EB5606"/>
    <w:rsid w:val="00EC0F5E"/>
    <w:rsid w:val="00ED1AC6"/>
    <w:rsid w:val="00EE7AEC"/>
    <w:rsid w:val="00EF1585"/>
    <w:rsid w:val="00F00BB9"/>
    <w:rsid w:val="00F0366F"/>
    <w:rsid w:val="00F31F6B"/>
    <w:rsid w:val="00F93F78"/>
    <w:rsid w:val="00FA0447"/>
    <w:rsid w:val="00FC0826"/>
    <w:rsid w:val="00FD73CF"/>
    <w:rsid w:val="00FE3ADA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F47F4D4"/>
  <w15:chartTrackingRefBased/>
  <w15:docId w15:val="{7D89685B-DC9F-45B0-BA89-686925E2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customStyle="1" w:styleId="ANNEX">
    <w:name w:val="ANNEX"/>
    <w:basedOn w:val="Heading1"/>
    <w:next w:val="Normal"/>
    <w:autoRedefine/>
    <w:rsid w:val="00740CAE"/>
    <w:pPr>
      <w:keepLines w:val="0"/>
      <w:spacing w:before="120"/>
    </w:pPr>
    <w:rPr>
      <w:rFonts w:cs="Arial"/>
      <w:caps/>
      <w:color w:val="0000FF"/>
      <w:sz w:val="24"/>
      <w:szCs w:val="20"/>
    </w:rPr>
  </w:style>
  <w:style w:type="character" w:customStyle="1" w:styleId="StyleStyleArialRedArial10pt">
    <w:name w:val="Style Style Arial Red + Arial 10 pt"/>
    <w:rsid w:val="00812FC8"/>
    <w:rPr>
      <w:rFonts w:ascii="Arial" w:hAnsi="Arial"/>
      <w:color w:val="FF0000"/>
      <w:sz w:val="20"/>
      <w:szCs w:val="18"/>
    </w:rPr>
  </w:style>
  <w:style w:type="paragraph" w:styleId="NormalWeb">
    <w:name w:val="Normal (Web)"/>
    <w:basedOn w:val="Normal"/>
    <w:uiPriority w:val="99"/>
    <w:unhideWhenUsed/>
    <w:rsid w:val="004037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C2B4-ADE0-40DE-AF83-E9DE2B63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2011-05-02T18:37:00Z</cp:lastPrinted>
  <dcterms:created xsi:type="dcterms:W3CDTF">2018-07-09T20:03:00Z</dcterms:created>
  <dcterms:modified xsi:type="dcterms:W3CDTF">2018-07-09T20:03:00Z</dcterms:modified>
</cp:coreProperties>
</file>